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EB" w:rsidRPr="004510B4" w:rsidRDefault="005A68EB" w:rsidP="009E77F5">
      <w:pPr>
        <w:spacing w:before="161" w:after="161" w:line="240" w:lineRule="auto"/>
        <w:jc w:val="center"/>
        <w:outlineLvl w:val="0"/>
        <w:rPr>
          <w:rFonts w:ascii="Arial" w:eastAsia="Times New Roman" w:hAnsi="Arial" w:cs="Arial"/>
          <w:bCs/>
          <w:color w:val="333333"/>
          <w:kern w:val="36"/>
          <w:sz w:val="24"/>
          <w:szCs w:val="24"/>
        </w:rPr>
      </w:pPr>
      <w:r w:rsidRPr="004510B4">
        <w:rPr>
          <w:rFonts w:ascii="Arial" w:eastAsia="Times New Roman" w:hAnsi="Arial" w:cs="Arial"/>
          <w:bCs/>
          <w:color w:val="333333"/>
          <w:kern w:val="36"/>
          <w:sz w:val="24"/>
          <w:szCs w:val="24"/>
        </w:rPr>
        <w:t>IRS Form 1120</w:t>
      </w:r>
    </w:p>
    <w:p w:rsidR="004510B4" w:rsidRPr="004510B4" w:rsidRDefault="006A152F" w:rsidP="00F650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  <w:r w:rsidRPr="004510B4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  <w:t>Corporation Income Tax Return</w:t>
      </w:r>
    </w:p>
    <w:p w:rsidR="001353D6" w:rsidRDefault="004510B4" w:rsidP="001353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</w:rPr>
      </w:pPr>
      <w:r w:rsidRPr="004510B4"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</w:rPr>
        <w:t xml:space="preserve">Source: </w:t>
      </w:r>
    </w:p>
    <w:p w:rsidR="004510B4" w:rsidRPr="004510B4" w:rsidRDefault="000F06F4" w:rsidP="00135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5" w:history="1">
        <w:r w:rsidR="004510B4" w:rsidRPr="004510B4">
          <w:rPr>
            <w:rStyle w:val="Hyperlink"/>
            <w:rFonts w:ascii="Arial" w:eastAsia="Times New Roman" w:hAnsi="Arial" w:cs="Arial"/>
            <w:sz w:val="20"/>
            <w:szCs w:val="20"/>
          </w:rPr>
          <w:t>https://www.irs.gov/site-index-search?search=1120&amp;field_pup_historical_1=1&amp;field_pup_historical=1&amp;=Search</w:t>
        </w:r>
      </w:hyperlink>
    </w:p>
    <w:p w:rsidR="004510B4" w:rsidRPr="004510B4" w:rsidRDefault="000F06F4" w:rsidP="00135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6" w:anchor="ixzz4vhwkaNVh" w:history="1">
        <w:r w:rsidR="004510B4" w:rsidRPr="004510B4">
          <w:rPr>
            <w:rFonts w:ascii="Arial" w:eastAsia="Times New Roman" w:hAnsi="Arial" w:cs="Arial"/>
            <w:color w:val="003399"/>
            <w:sz w:val="20"/>
            <w:szCs w:val="20"/>
          </w:rPr>
          <w:t>http://www.investopedia.com/terms/c/corporatetax.asp#ixzz4vhwkaNVh</w:t>
        </w:r>
      </w:hyperlink>
      <w:r w:rsidR="004510B4" w:rsidRPr="004510B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510B4" w:rsidRPr="004510B4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6A152F" w:rsidRPr="004510B4" w:rsidRDefault="006A152F" w:rsidP="006A152F">
      <w:pPr>
        <w:spacing w:after="150" w:line="24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4510B4">
        <w:rPr>
          <w:rFonts w:ascii="Arial" w:eastAsia="Times New Roman" w:hAnsi="Arial" w:cs="Arial"/>
          <w:color w:val="333333"/>
          <w:sz w:val="24"/>
          <w:szCs w:val="24"/>
        </w:rPr>
        <w:t>Domestic corporations use this form to:</w:t>
      </w:r>
    </w:p>
    <w:p w:rsidR="006A152F" w:rsidRPr="004510B4" w:rsidRDefault="006A152F" w:rsidP="006A152F">
      <w:pPr>
        <w:numPr>
          <w:ilvl w:val="0"/>
          <w:numId w:val="3"/>
        </w:numPr>
        <w:spacing w:before="100" w:beforeAutospacing="1" w:after="100" w:afterAutospacing="1" w:line="240" w:lineRule="atLeast"/>
        <w:ind w:left="495"/>
        <w:rPr>
          <w:rFonts w:ascii="Arial" w:eastAsia="Times New Roman" w:hAnsi="Arial" w:cs="Arial"/>
          <w:color w:val="333333"/>
          <w:sz w:val="24"/>
          <w:szCs w:val="24"/>
        </w:rPr>
      </w:pPr>
      <w:r w:rsidRPr="004510B4">
        <w:rPr>
          <w:rFonts w:ascii="Arial" w:eastAsia="Times New Roman" w:hAnsi="Arial" w:cs="Arial"/>
          <w:color w:val="333333"/>
          <w:sz w:val="24"/>
          <w:szCs w:val="24"/>
        </w:rPr>
        <w:t>report their income, gains, losses, deductions, credits, and</w:t>
      </w:r>
    </w:p>
    <w:p w:rsidR="006A152F" w:rsidRPr="004510B4" w:rsidRDefault="006A152F" w:rsidP="00CD18D3">
      <w:pPr>
        <w:numPr>
          <w:ilvl w:val="0"/>
          <w:numId w:val="3"/>
        </w:numPr>
        <w:spacing w:before="100" w:beforeAutospacing="1" w:after="100" w:afterAutospacing="1" w:line="240" w:lineRule="atLeast"/>
        <w:ind w:left="495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4510B4">
        <w:rPr>
          <w:rFonts w:ascii="Arial" w:eastAsia="Times New Roman" w:hAnsi="Arial" w:cs="Arial"/>
          <w:color w:val="333333"/>
          <w:sz w:val="24"/>
          <w:szCs w:val="24"/>
        </w:rPr>
        <w:t>figure</w:t>
      </w:r>
      <w:proofErr w:type="gramEnd"/>
      <w:r w:rsidRPr="004510B4">
        <w:rPr>
          <w:rFonts w:ascii="Arial" w:eastAsia="Times New Roman" w:hAnsi="Arial" w:cs="Arial"/>
          <w:color w:val="333333"/>
          <w:sz w:val="24"/>
          <w:szCs w:val="24"/>
        </w:rPr>
        <w:t xml:space="preserve"> their income tax liability.</w:t>
      </w:r>
    </w:p>
    <w:p w:rsidR="00AA6F47" w:rsidRPr="004510B4" w:rsidRDefault="00AA6F47" w:rsidP="00AA6F47">
      <w:pPr>
        <w:shd w:val="clear" w:color="auto" w:fill="FFFFFF"/>
        <w:spacing w:before="24" w:after="24" w:line="240" w:lineRule="auto"/>
        <w:outlineLvl w:val="1"/>
        <w:rPr>
          <w:rFonts w:ascii="Arial" w:eastAsia="Times New Roman" w:hAnsi="Arial" w:cs="Arial"/>
          <w:b/>
          <w:color w:val="362F2D"/>
          <w:sz w:val="24"/>
          <w:szCs w:val="24"/>
        </w:rPr>
      </w:pPr>
      <w:r w:rsidRPr="004510B4">
        <w:rPr>
          <w:rFonts w:ascii="Arial" w:eastAsia="Times New Roman" w:hAnsi="Arial" w:cs="Arial"/>
          <w:b/>
          <w:color w:val="362F2D"/>
          <w:sz w:val="24"/>
          <w:szCs w:val="24"/>
        </w:rPr>
        <w:t xml:space="preserve">What is a 'Corporate </w:t>
      </w:r>
      <w:proofErr w:type="gramStart"/>
      <w:r w:rsidRPr="004510B4">
        <w:rPr>
          <w:rFonts w:ascii="Arial" w:eastAsia="Times New Roman" w:hAnsi="Arial" w:cs="Arial"/>
          <w:b/>
          <w:color w:val="362F2D"/>
          <w:sz w:val="24"/>
          <w:szCs w:val="24"/>
        </w:rPr>
        <w:t>Tax</w:t>
      </w:r>
      <w:proofErr w:type="gramEnd"/>
      <w:r w:rsidRPr="004510B4">
        <w:rPr>
          <w:rFonts w:ascii="Arial" w:eastAsia="Times New Roman" w:hAnsi="Arial" w:cs="Arial"/>
          <w:b/>
          <w:color w:val="362F2D"/>
          <w:sz w:val="24"/>
          <w:szCs w:val="24"/>
        </w:rPr>
        <w:t>'</w:t>
      </w:r>
    </w:p>
    <w:p w:rsidR="00AA6F47" w:rsidRPr="004510B4" w:rsidRDefault="00AA6F47" w:rsidP="00AA6F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510B4">
        <w:rPr>
          <w:rFonts w:ascii="Arial" w:eastAsia="Times New Roman" w:hAnsi="Arial" w:cs="Arial"/>
          <w:color w:val="000000"/>
          <w:sz w:val="24"/>
          <w:szCs w:val="24"/>
        </w:rPr>
        <w:t xml:space="preserve">A corporate tax is a </w:t>
      </w:r>
      <w:hyperlink r:id="rId7" w:history="1">
        <w:r w:rsidRPr="004510B4">
          <w:rPr>
            <w:rFonts w:ascii="Arial" w:eastAsia="Times New Roman" w:hAnsi="Arial" w:cs="Arial"/>
            <w:color w:val="005B9D"/>
            <w:sz w:val="24"/>
            <w:szCs w:val="24"/>
          </w:rPr>
          <w:t>levy</w:t>
        </w:r>
      </w:hyperlink>
      <w:r w:rsidRPr="004510B4">
        <w:rPr>
          <w:rFonts w:ascii="Arial" w:eastAsia="Times New Roman" w:hAnsi="Arial" w:cs="Arial"/>
          <w:color w:val="000000"/>
          <w:sz w:val="24"/>
          <w:szCs w:val="24"/>
        </w:rPr>
        <w:t xml:space="preserve"> placed on the profit of a firm to raise </w:t>
      </w:r>
      <w:hyperlink r:id="rId8" w:history="1">
        <w:r w:rsidRPr="004510B4">
          <w:rPr>
            <w:rFonts w:ascii="Arial" w:eastAsia="Times New Roman" w:hAnsi="Arial" w:cs="Arial"/>
            <w:color w:val="005B9D"/>
            <w:sz w:val="24"/>
            <w:szCs w:val="24"/>
          </w:rPr>
          <w:t>taxes</w:t>
        </w:r>
      </w:hyperlink>
      <w:proofErr w:type="gramStart"/>
      <w:r w:rsidRPr="004510B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End"/>
      <w:r w:rsidRPr="004510B4">
        <w:rPr>
          <w:rFonts w:ascii="Arial" w:eastAsia="Times New Roman" w:hAnsi="Arial" w:cs="Arial"/>
          <w:color w:val="000000"/>
          <w:sz w:val="24"/>
          <w:szCs w:val="24"/>
        </w:rPr>
        <w:t xml:space="preserve">After </w:t>
      </w:r>
      <w:hyperlink r:id="rId9" w:history="1">
        <w:r w:rsidRPr="004510B4">
          <w:rPr>
            <w:rFonts w:ascii="Arial" w:eastAsia="Times New Roman" w:hAnsi="Arial" w:cs="Arial"/>
            <w:color w:val="005B9D"/>
            <w:sz w:val="24"/>
            <w:szCs w:val="24"/>
          </w:rPr>
          <w:t>operating earnings</w:t>
        </w:r>
      </w:hyperlink>
      <w:r w:rsidRPr="004510B4">
        <w:rPr>
          <w:rFonts w:ascii="Arial" w:eastAsia="Times New Roman" w:hAnsi="Arial" w:cs="Arial"/>
          <w:color w:val="000000"/>
          <w:sz w:val="24"/>
          <w:szCs w:val="24"/>
        </w:rPr>
        <w:t xml:space="preserve"> is calculated by deducting expenses including the cost of goods sold (</w:t>
      </w:r>
      <w:hyperlink r:id="rId10" w:history="1">
        <w:r w:rsidRPr="004510B4">
          <w:rPr>
            <w:rFonts w:ascii="Arial" w:eastAsia="Times New Roman" w:hAnsi="Arial" w:cs="Arial"/>
            <w:color w:val="005B9D"/>
            <w:sz w:val="24"/>
            <w:szCs w:val="24"/>
          </w:rPr>
          <w:t>COGS</w:t>
        </w:r>
      </w:hyperlink>
      <w:r w:rsidRPr="004510B4">
        <w:rPr>
          <w:rFonts w:ascii="Arial" w:eastAsia="Times New Roman" w:hAnsi="Arial" w:cs="Arial"/>
          <w:color w:val="000000"/>
          <w:sz w:val="24"/>
          <w:szCs w:val="24"/>
        </w:rPr>
        <w:t xml:space="preserve">) and </w:t>
      </w:r>
      <w:hyperlink r:id="rId11" w:history="1">
        <w:r w:rsidRPr="004510B4">
          <w:rPr>
            <w:rFonts w:ascii="Arial" w:eastAsia="Times New Roman" w:hAnsi="Arial" w:cs="Arial"/>
            <w:color w:val="005B9D"/>
            <w:sz w:val="24"/>
            <w:szCs w:val="24"/>
          </w:rPr>
          <w:t>depreciation</w:t>
        </w:r>
      </w:hyperlink>
      <w:r w:rsidRPr="004510B4">
        <w:rPr>
          <w:rFonts w:ascii="Arial" w:eastAsia="Times New Roman" w:hAnsi="Arial" w:cs="Arial"/>
          <w:color w:val="000000"/>
          <w:sz w:val="24"/>
          <w:szCs w:val="24"/>
        </w:rPr>
        <w:t xml:space="preserve"> from </w:t>
      </w:r>
      <w:hyperlink r:id="rId12" w:history="1">
        <w:r w:rsidRPr="004510B4">
          <w:rPr>
            <w:rFonts w:ascii="Arial" w:eastAsia="Times New Roman" w:hAnsi="Arial" w:cs="Arial"/>
            <w:color w:val="005B9D"/>
            <w:sz w:val="24"/>
            <w:szCs w:val="24"/>
          </w:rPr>
          <w:t>revenues</w:t>
        </w:r>
      </w:hyperlink>
      <w:r w:rsidRPr="004510B4">
        <w:rPr>
          <w:rFonts w:ascii="Arial" w:eastAsia="Times New Roman" w:hAnsi="Arial" w:cs="Arial"/>
          <w:color w:val="000000"/>
          <w:sz w:val="24"/>
          <w:szCs w:val="24"/>
        </w:rPr>
        <w:t xml:space="preserve">, enacted </w:t>
      </w:r>
      <w:hyperlink r:id="rId13" w:history="1">
        <w:r w:rsidRPr="004510B4">
          <w:rPr>
            <w:rFonts w:ascii="Arial" w:eastAsia="Times New Roman" w:hAnsi="Arial" w:cs="Arial"/>
            <w:color w:val="005B9D"/>
            <w:sz w:val="24"/>
            <w:szCs w:val="24"/>
          </w:rPr>
          <w:t>tax rates</w:t>
        </w:r>
      </w:hyperlink>
      <w:r w:rsidRPr="004510B4">
        <w:rPr>
          <w:rFonts w:ascii="Arial" w:eastAsia="Times New Roman" w:hAnsi="Arial" w:cs="Arial"/>
          <w:color w:val="000000"/>
          <w:sz w:val="24"/>
          <w:szCs w:val="24"/>
        </w:rPr>
        <w:t xml:space="preserve"> are applied to generate a legal obligation the business owes the government. Rules surrounding corporate </w:t>
      </w:r>
      <w:hyperlink r:id="rId14" w:history="1">
        <w:r w:rsidRPr="004510B4">
          <w:rPr>
            <w:rFonts w:ascii="Arial" w:eastAsia="Times New Roman" w:hAnsi="Arial" w:cs="Arial"/>
            <w:color w:val="005B9D"/>
            <w:sz w:val="24"/>
            <w:szCs w:val="24"/>
          </w:rPr>
          <w:t>taxation</w:t>
        </w:r>
      </w:hyperlink>
      <w:r w:rsidRPr="004510B4">
        <w:rPr>
          <w:rFonts w:ascii="Arial" w:eastAsia="Times New Roman" w:hAnsi="Arial" w:cs="Arial"/>
          <w:color w:val="000000"/>
          <w:sz w:val="24"/>
          <w:szCs w:val="24"/>
        </w:rPr>
        <w:t xml:space="preserve"> vary greatly around the world and must be voted upon and approved by the government to </w:t>
      </w:r>
      <w:proofErr w:type="gramStart"/>
      <w:r w:rsidRPr="004510B4">
        <w:rPr>
          <w:rFonts w:ascii="Arial" w:eastAsia="Times New Roman" w:hAnsi="Arial" w:cs="Arial"/>
          <w:color w:val="000000"/>
          <w:sz w:val="24"/>
          <w:szCs w:val="24"/>
        </w:rPr>
        <w:t>be enacted</w:t>
      </w:r>
      <w:proofErr w:type="gramEnd"/>
      <w:r w:rsidRPr="004510B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A6F47" w:rsidRPr="004510B4" w:rsidRDefault="00AA6F47" w:rsidP="001A317A">
      <w:pPr>
        <w:shd w:val="clear" w:color="auto" w:fill="FFFFFF"/>
        <w:spacing w:before="24" w:after="24" w:line="240" w:lineRule="auto"/>
        <w:jc w:val="center"/>
        <w:outlineLvl w:val="1"/>
        <w:rPr>
          <w:rFonts w:ascii="Arial" w:eastAsia="Times New Roman" w:hAnsi="Arial" w:cs="Arial"/>
          <w:b/>
          <w:color w:val="362F2D"/>
          <w:sz w:val="24"/>
          <w:szCs w:val="24"/>
        </w:rPr>
      </w:pPr>
      <w:r w:rsidRPr="004510B4">
        <w:rPr>
          <w:rFonts w:ascii="Arial" w:eastAsia="Times New Roman" w:hAnsi="Arial" w:cs="Arial"/>
          <w:b/>
          <w:color w:val="362F2D"/>
          <w:sz w:val="24"/>
          <w:szCs w:val="24"/>
        </w:rPr>
        <w:t>BREAKING DOWN 'Corporate Tax'</w:t>
      </w:r>
    </w:p>
    <w:p w:rsidR="001A317A" w:rsidRPr="004510B4" w:rsidRDefault="001A317A" w:rsidP="001A317A">
      <w:pPr>
        <w:shd w:val="clear" w:color="auto" w:fill="FFFFFF"/>
        <w:spacing w:before="24" w:after="24" w:line="240" w:lineRule="auto"/>
        <w:jc w:val="center"/>
        <w:outlineLvl w:val="1"/>
        <w:rPr>
          <w:rFonts w:ascii="Arial" w:eastAsia="Times New Roman" w:hAnsi="Arial" w:cs="Arial"/>
          <w:b/>
          <w:color w:val="362F2D"/>
          <w:sz w:val="24"/>
          <w:szCs w:val="24"/>
        </w:rPr>
      </w:pPr>
    </w:p>
    <w:p w:rsidR="00AA6F47" w:rsidRPr="004510B4" w:rsidRDefault="00AA6F47" w:rsidP="00AA6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510B4">
        <w:rPr>
          <w:rFonts w:ascii="Arial" w:eastAsia="Times New Roman" w:hAnsi="Arial" w:cs="Arial"/>
          <w:color w:val="000000"/>
          <w:sz w:val="24"/>
          <w:szCs w:val="24"/>
        </w:rPr>
        <w:t>U.S. corporate tax returns are typically due March 15</w:t>
      </w:r>
      <w:proofErr w:type="gramStart"/>
      <w:r w:rsidRPr="004510B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End"/>
      <w:r w:rsidRPr="004510B4">
        <w:rPr>
          <w:rFonts w:ascii="Arial" w:eastAsia="Times New Roman" w:hAnsi="Arial" w:cs="Arial"/>
          <w:color w:val="000000"/>
          <w:sz w:val="24"/>
          <w:szCs w:val="24"/>
        </w:rPr>
        <w:t>Corporations may request a six-month extension to have corporate tax returns due in September</w:t>
      </w:r>
      <w:proofErr w:type="gramStart"/>
      <w:r w:rsidRPr="004510B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End"/>
      <w:r w:rsidRPr="004510B4">
        <w:rPr>
          <w:rFonts w:ascii="Arial" w:eastAsia="Times New Roman" w:hAnsi="Arial" w:cs="Arial"/>
          <w:color w:val="000000"/>
          <w:sz w:val="24"/>
          <w:szCs w:val="24"/>
        </w:rPr>
        <w:t>Installment payment due dates for estimate tax returns occur in the middle of April, June, September and December</w:t>
      </w:r>
      <w:proofErr w:type="gramStart"/>
      <w:r w:rsidRPr="004510B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End"/>
      <w:r w:rsidRPr="004510B4">
        <w:rPr>
          <w:rFonts w:ascii="Arial" w:eastAsia="Times New Roman" w:hAnsi="Arial" w:cs="Arial"/>
          <w:color w:val="000000"/>
          <w:sz w:val="24"/>
          <w:szCs w:val="24"/>
        </w:rPr>
        <w:t>Corporate taxes are reported using Form 1120 for U.S. corporations</w:t>
      </w:r>
      <w:proofErr w:type="gramStart"/>
      <w:r w:rsidRPr="004510B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End"/>
      <w:r w:rsidRPr="004510B4">
        <w:rPr>
          <w:rFonts w:ascii="Arial" w:eastAsia="Times New Roman" w:hAnsi="Arial" w:cs="Arial"/>
          <w:color w:val="000000"/>
          <w:sz w:val="24"/>
          <w:szCs w:val="24"/>
        </w:rPr>
        <w:t>If the corporation has more than $10 million in assets, it is required to file online.</w:t>
      </w:r>
    </w:p>
    <w:p w:rsidR="005A68EB" w:rsidRPr="004510B4" w:rsidRDefault="005A68EB" w:rsidP="00AA6F47">
      <w:pPr>
        <w:shd w:val="clear" w:color="auto" w:fill="FFFFFF"/>
        <w:spacing w:before="24" w:after="24" w:line="240" w:lineRule="auto"/>
        <w:outlineLvl w:val="1"/>
        <w:rPr>
          <w:rFonts w:ascii="Arial" w:eastAsia="Times New Roman" w:hAnsi="Arial" w:cs="Arial"/>
          <w:color w:val="362F2D"/>
          <w:sz w:val="24"/>
          <w:szCs w:val="24"/>
        </w:rPr>
      </w:pPr>
    </w:p>
    <w:p w:rsidR="00AA6F47" w:rsidRPr="004510B4" w:rsidRDefault="00AA6F47" w:rsidP="001A317A">
      <w:pPr>
        <w:shd w:val="clear" w:color="auto" w:fill="FFFFFF"/>
        <w:spacing w:before="24" w:after="24" w:line="240" w:lineRule="auto"/>
        <w:jc w:val="center"/>
        <w:outlineLvl w:val="1"/>
        <w:rPr>
          <w:rFonts w:ascii="Arial" w:eastAsia="Times New Roman" w:hAnsi="Arial" w:cs="Arial"/>
          <w:b/>
          <w:color w:val="362F2D"/>
          <w:sz w:val="24"/>
          <w:szCs w:val="24"/>
        </w:rPr>
      </w:pPr>
      <w:r w:rsidRPr="004510B4">
        <w:rPr>
          <w:rFonts w:ascii="Arial" w:eastAsia="Times New Roman" w:hAnsi="Arial" w:cs="Arial"/>
          <w:b/>
          <w:color w:val="362F2D"/>
          <w:sz w:val="24"/>
          <w:szCs w:val="24"/>
        </w:rPr>
        <w:t>Corporate Tax Deductions</w:t>
      </w:r>
    </w:p>
    <w:p w:rsidR="00AA6F47" w:rsidRPr="004510B4" w:rsidRDefault="00AA6F47" w:rsidP="00AA6F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510B4">
        <w:rPr>
          <w:rFonts w:ascii="Arial" w:eastAsia="Times New Roman" w:hAnsi="Arial" w:cs="Arial"/>
          <w:color w:val="000000"/>
          <w:sz w:val="24"/>
          <w:szCs w:val="24"/>
        </w:rPr>
        <w:t>Corporations are permitted to reduce taxable income by certain necessary and ordinary business expenditures</w:t>
      </w:r>
      <w:proofErr w:type="gramStart"/>
      <w:r w:rsidRPr="004510B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End"/>
      <w:r w:rsidRPr="004510B4">
        <w:rPr>
          <w:rFonts w:ascii="Arial" w:eastAsia="Times New Roman" w:hAnsi="Arial" w:cs="Arial"/>
          <w:color w:val="000000"/>
          <w:sz w:val="24"/>
          <w:szCs w:val="24"/>
        </w:rPr>
        <w:t>All current expenses required for the operation of the business are fully tax deductible</w:t>
      </w:r>
      <w:proofErr w:type="gramStart"/>
      <w:r w:rsidRPr="004510B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End"/>
      <w:r w:rsidRPr="004510B4">
        <w:rPr>
          <w:rFonts w:ascii="Arial" w:eastAsia="Times New Roman" w:hAnsi="Arial" w:cs="Arial"/>
          <w:color w:val="000000"/>
          <w:sz w:val="24"/>
          <w:szCs w:val="24"/>
        </w:rPr>
        <w:t>Investments and real estate purchased for the intent on generating income for the business are also deductible</w:t>
      </w:r>
      <w:proofErr w:type="gramStart"/>
      <w:r w:rsidRPr="004510B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End"/>
      <w:r w:rsidRPr="004510B4">
        <w:rPr>
          <w:rFonts w:ascii="Arial" w:eastAsia="Times New Roman" w:hAnsi="Arial" w:cs="Arial"/>
          <w:color w:val="000000"/>
          <w:sz w:val="24"/>
          <w:szCs w:val="24"/>
        </w:rPr>
        <w:t>A corporation can deduct employee salaries, health benefits, tuition reimbursement and bonuses</w:t>
      </w:r>
      <w:proofErr w:type="gramStart"/>
      <w:r w:rsidRPr="004510B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End"/>
      <w:r w:rsidRPr="004510B4">
        <w:rPr>
          <w:rFonts w:ascii="Arial" w:eastAsia="Times New Roman" w:hAnsi="Arial" w:cs="Arial"/>
          <w:color w:val="000000"/>
          <w:sz w:val="24"/>
          <w:szCs w:val="24"/>
        </w:rPr>
        <w:t>In addition, a corporation can reduce its taxable income by insurance premiums, travel expenses, bad debts, interest payments, sales taxes, fuel taxes and excise taxes</w:t>
      </w:r>
      <w:proofErr w:type="gramStart"/>
      <w:r w:rsidRPr="004510B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End"/>
      <w:r w:rsidRPr="004510B4">
        <w:rPr>
          <w:rFonts w:ascii="Arial" w:eastAsia="Times New Roman" w:hAnsi="Arial" w:cs="Arial"/>
          <w:color w:val="000000"/>
          <w:sz w:val="24"/>
          <w:szCs w:val="24"/>
        </w:rPr>
        <w:t xml:space="preserve">Tax preparation fees, legal services, bookkeeping and advertising costs </w:t>
      </w:r>
      <w:proofErr w:type="gramStart"/>
      <w:r w:rsidRPr="004510B4">
        <w:rPr>
          <w:rFonts w:ascii="Arial" w:eastAsia="Times New Roman" w:hAnsi="Arial" w:cs="Arial"/>
          <w:color w:val="000000"/>
          <w:sz w:val="24"/>
          <w:szCs w:val="24"/>
        </w:rPr>
        <w:t>are also used</w:t>
      </w:r>
      <w:proofErr w:type="gramEnd"/>
      <w:r w:rsidRPr="004510B4">
        <w:rPr>
          <w:rFonts w:ascii="Arial" w:eastAsia="Times New Roman" w:hAnsi="Arial" w:cs="Arial"/>
          <w:color w:val="000000"/>
          <w:sz w:val="24"/>
          <w:szCs w:val="24"/>
        </w:rPr>
        <w:t xml:space="preserve"> to reduce business income.</w:t>
      </w:r>
    </w:p>
    <w:p w:rsidR="00AA6F47" w:rsidRPr="004510B4" w:rsidRDefault="00AA6F47" w:rsidP="001A317A">
      <w:pPr>
        <w:shd w:val="clear" w:color="auto" w:fill="FFFFFF"/>
        <w:spacing w:before="24" w:after="24" w:line="240" w:lineRule="auto"/>
        <w:jc w:val="center"/>
        <w:outlineLvl w:val="1"/>
        <w:rPr>
          <w:rFonts w:ascii="Arial" w:eastAsia="Times New Roman" w:hAnsi="Arial" w:cs="Arial"/>
          <w:b/>
          <w:color w:val="362F2D"/>
          <w:sz w:val="24"/>
          <w:szCs w:val="24"/>
        </w:rPr>
      </w:pPr>
      <w:r w:rsidRPr="004510B4">
        <w:rPr>
          <w:rFonts w:ascii="Arial" w:eastAsia="Times New Roman" w:hAnsi="Arial" w:cs="Arial"/>
          <w:b/>
          <w:color w:val="362F2D"/>
          <w:sz w:val="24"/>
          <w:szCs w:val="24"/>
        </w:rPr>
        <w:t>Double Taxation and S Corporations</w:t>
      </w:r>
    </w:p>
    <w:p w:rsidR="00AA6F47" w:rsidRPr="004510B4" w:rsidRDefault="00AA6F47" w:rsidP="00AA6F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510B4">
        <w:rPr>
          <w:rFonts w:ascii="Arial" w:eastAsia="Times New Roman" w:hAnsi="Arial" w:cs="Arial"/>
          <w:color w:val="000000"/>
          <w:sz w:val="24"/>
          <w:szCs w:val="24"/>
        </w:rPr>
        <w:lastRenderedPageBreak/>
        <w:t>A central issue relating to corporate taxation relates to the concept of double taxation</w:t>
      </w:r>
      <w:proofErr w:type="gramStart"/>
      <w:r w:rsidRPr="004510B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End"/>
      <w:r w:rsidRPr="004510B4">
        <w:rPr>
          <w:rFonts w:ascii="Arial" w:eastAsia="Times New Roman" w:hAnsi="Arial" w:cs="Arial"/>
          <w:color w:val="000000"/>
          <w:sz w:val="24"/>
          <w:szCs w:val="24"/>
        </w:rPr>
        <w:t>Certain corporations are taxed on the taxable income of the company</w:t>
      </w:r>
      <w:proofErr w:type="gramStart"/>
      <w:r w:rsidRPr="004510B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End"/>
      <w:r w:rsidRPr="004510B4">
        <w:rPr>
          <w:rFonts w:ascii="Arial" w:eastAsia="Times New Roman" w:hAnsi="Arial" w:cs="Arial"/>
          <w:color w:val="000000"/>
          <w:sz w:val="24"/>
          <w:szCs w:val="24"/>
        </w:rPr>
        <w:t>If this net income is distributed to shareholders, these individuals are forced to pay individual income taxes on the dividends received</w:t>
      </w:r>
      <w:proofErr w:type="gramStart"/>
      <w:r w:rsidRPr="004510B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End"/>
      <w:r w:rsidRPr="004510B4">
        <w:rPr>
          <w:rFonts w:ascii="Arial" w:eastAsia="Times New Roman" w:hAnsi="Arial" w:cs="Arial"/>
          <w:color w:val="000000"/>
          <w:sz w:val="24"/>
          <w:szCs w:val="24"/>
        </w:rPr>
        <w:t>To work around this issue, a business may register as an S corporation and have all income pass-through to business owners</w:t>
      </w:r>
      <w:proofErr w:type="gramStart"/>
      <w:r w:rsidRPr="004510B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End"/>
      <w:r w:rsidRPr="004510B4">
        <w:rPr>
          <w:rFonts w:ascii="Arial" w:eastAsia="Times New Roman" w:hAnsi="Arial" w:cs="Arial"/>
          <w:color w:val="000000"/>
          <w:sz w:val="24"/>
          <w:szCs w:val="24"/>
        </w:rPr>
        <w:t xml:space="preserve">An S corporation does not pay corporate tax as all taxes </w:t>
      </w:r>
      <w:proofErr w:type="gramStart"/>
      <w:r w:rsidRPr="004510B4">
        <w:rPr>
          <w:rFonts w:ascii="Arial" w:eastAsia="Times New Roman" w:hAnsi="Arial" w:cs="Arial"/>
          <w:color w:val="000000"/>
          <w:sz w:val="24"/>
          <w:szCs w:val="24"/>
        </w:rPr>
        <w:t>are paid</w:t>
      </w:r>
      <w:proofErr w:type="gramEnd"/>
      <w:r w:rsidRPr="004510B4">
        <w:rPr>
          <w:rFonts w:ascii="Arial" w:eastAsia="Times New Roman" w:hAnsi="Arial" w:cs="Arial"/>
          <w:color w:val="000000"/>
          <w:sz w:val="24"/>
          <w:szCs w:val="24"/>
        </w:rPr>
        <w:t xml:space="preserve"> through individual tax returns.</w:t>
      </w:r>
    </w:p>
    <w:p w:rsidR="00AA6F47" w:rsidRPr="004510B4" w:rsidRDefault="00AA6F47" w:rsidP="00372E88">
      <w:pPr>
        <w:shd w:val="clear" w:color="auto" w:fill="FFFFFF"/>
        <w:spacing w:before="24" w:after="24" w:line="240" w:lineRule="auto"/>
        <w:jc w:val="center"/>
        <w:outlineLvl w:val="1"/>
        <w:rPr>
          <w:rFonts w:ascii="Arial" w:eastAsia="Times New Roman" w:hAnsi="Arial" w:cs="Arial"/>
          <w:b/>
          <w:color w:val="362F2D"/>
          <w:sz w:val="24"/>
          <w:szCs w:val="24"/>
        </w:rPr>
      </w:pPr>
      <w:r w:rsidRPr="004510B4">
        <w:rPr>
          <w:rFonts w:ascii="Arial" w:eastAsia="Times New Roman" w:hAnsi="Arial" w:cs="Arial"/>
          <w:b/>
          <w:color w:val="362F2D"/>
          <w:sz w:val="24"/>
          <w:szCs w:val="24"/>
        </w:rPr>
        <w:t>Advantages of Corporate Taxation</w:t>
      </w:r>
    </w:p>
    <w:p w:rsidR="009B188C" w:rsidRPr="004510B4" w:rsidRDefault="00AA6F47" w:rsidP="009153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510B4">
        <w:rPr>
          <w:rFonts w:ascii="Arial" w:eastAsia="Times New Roman" w:hAnsi="Arial" w:cs="Arial"/>
          <w:color w:val="000000"/>
          <w:sz w:val="24"/>
          <w:szCs w:val="24"/>
        </w:rPr>
        <w:t>Paying corporate taxes can be more beneficial for business owners when compared to paying additional individual income tax</w:t>
      </w:r>
      <w:proofErr w:type="gramStart"/>
      <w:r w:rsidRPr="004510B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End"/>
      <w:r w:rsidRPr="004510B4">
        <w:rPr>
          <w:rFonts w:ascii="Arial" w:eastAsia="Times New Roman" w:hAnsi="Arial" w:cs="Arial"/>
          <w:color w:val="000000"/>
          <w:sz w:val="24"/>
          <w:szCs w:val="24"/>
        </w:rPr>
        <w:t>Corporate tax returns deduct medical insurance for families as well as fringe benefits including retirement plans and tax-deferred trusts</w:t>
      </w:r>
      <w:proofErr w:type="gramStart"/>
      <w:r w:rsidRPr="004510B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End"/>
      <w:r w:rsidRPr="004510B4">
        <w:rPr>
          <w:rFonts w:ascii="Arial" w:eastAsia="Times New Roman" w:hAnsi="Arial" w:cs="Arial"/>
          <w:color w:val="000000"/>
          <w:sz w:val="24"/>
          <w:szCs w:val="24"/>
        </w:rPr>
        <w:t>It is easier for a corporation to deduct losses</w:t>
      </w:r>
      <w:proofErr w:type="gramStart"/>
      <w:r w:rsidRPr="004510B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End"/>
      <w:r w:rsidRPr="004510B4">
        <w:rPr>
          <w:rFonts w:ascii="Arial" w:eastAsia="Times New Roman" w:hAnsi="Arial" w:cs="Arial"/>
          <w:color w:val="000000"/>
          <w:sz w:val="24"/>
          <w:szCs w:val="24"/>
        </w:rPr>
        <w:t>A corporation may deduct the entire amount of losses, while a sole proprietor must provide evidence regarding the intent to earn a profit before the losses can be deducted</w:t>
      </w:r>
      <w:proofErr w:type="gramStart"/>
      <w:r w:rsidRPr="004510B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End"/>
      <w:r w:rsidRPr="004510B4">
        <w:rPr>
          <w:rFonts w:ascii="Arial" w:eastAsia="Times New Roman" w:hAnsi="Arial" w:cs="Arial"/>
          <w:color w:val="000000"/>
          <w:sz w:val="24"/>
          <w:szCs w:val="24"/>
        </w:rPr>
        <w:t xml:space="preserve">Finally, profit earned by a corporation </w:t>
      </w:r>
      <w:proofErr w:type="gramStart"/>
      <w:r w:rsidRPr="004510B4">
        <w:rPr>
          <w:rFonts w:ascii="Arial" w:eastAsia="Times New Roman" w:hAnsi="Arial" w:cs="Arial"/>
          <w:color w:val="000000"/>
          <w:sz w:val="24"/>
          <w:szCs w:val="24"/>
        </w:rPr>
        <w:t>may be left</w:t>
      </w:r>
      <w:proofErr w:type="gramEnd"/>
      <w:r w:rsidRPr="004510B4">
        <w:rPr>
          <w:rFonts w:ascii="Arial" w:eastAsia="Times New Roman" w:hAnsi="Arial" w:cs="Arial"/>
          <w:color w:val="000000"/>
          <w:sz w:val="24"/>
          <w:szCs w:val="24"/>
        </w:rPr>
        <w:t xml:space="preserve"> within the corporation allowing for tax planning and potential future tax advantages.</w:t>
      </w:r>
    </w:p>
    <w:p w:rsidR="009B188C" w:rsidRPr="004510B4" w:rsidRDefault="001A317A" w:rsidP="001A317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510B4">
        <w:rPr>
          <w:rFonts w:ascii="Arial" w:eastAsia="Times New Roman" w:hAnsi="Arial" w:cs="Arial"/>
          <w:b/>
          <w:sz w:val="24"/>
          <w:szCs w:val="24"/>
        </w:rPr>
        <w:t xml:space="preserve">Please Contact </w:t>
      </w:r>
      <w:proofErr w:type="gramStart"/>
      <w:r w:rsidRPr="004510B4">
        <w:rPr>
          <w:rFonts w:ascii="Arial" w:eastAsia="Times New Roman" w:hAnsi="Arial" w:cs="Arial"/>
          <w:b/>
          <w:sz w:val="24"/>
          <w:szCs w:val="24"/>
        </w:rPr>
        <w:t>Us</w:t>
      </w:r>
      <w:proofErr w:type="gramEnd"/>
      <w:r w:rsidRPr="004510B4">
        <w:rPr>
          <w:rFonts w:ascii="Arial" w:eastAsia="Times New Roman" w:hAnsi="Arial" w:cs="Arial"/>
          <w:b/>
          <w:sz w:val="24"/>
          <w:szCs w:val="24"/>
        </w:rPr>
        <w:t xml:space="preserve"> for your questions and inquiries:</w:t>
      </w:r>
    </w:p>
    <w:p w:rsidR="009C4A03" w:rsidRDefault="001A317A" w:rsidP="001A317A">
      <w:pPr>
        <w:jc w:val="center"/>
      </w:pPr>
      <w:r w:rsidRPr="001A317A">
        <w:rPr>
          <w:noProof/>
        </w:rPr>
        <w:drawing>
          <wp:inline distT="0" distB="0" distL="0" distR="0">
            <wp:extent cx="2980781" cy="1876425"/>
            <wp:effectExtent l="19050" t="0" r="0" b="0"/>
            <wp:docPr id="1" name="Picture 0" descr="FullSizeRender_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SizeRender_edited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876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0B4" w:rsidRDefault="004510B4" w:rsidP="001A317A">
      <w:pPr>
        <w:jc w:val="center"/>
      </w:pPr>
    </w:p>
    <w:p w:rsidR="004510B4" w:rsidRDefault="004510B4" w:rsidP="001A317A">
      <w:pPr>
        <w:jc w:val="center"/>
      </w:pPr>
    </w:p>
    <w:p w:rsidR="004510B4" w:rsidRDefault="004510B4" w:rsidP="001A317A">
      <w:pPr>
        <w:jc w:val="center"/>
      </w:pPr>
    </w:p>
    <w:p w:rsidR="004510B4" w:rsidRDefault="004510B4" w:rsidP="001A317A">
      <w:pPr>
        <w:jc w:val="center"/>
      </w:pPr>
    </w:p>
    <w:p w:rsidR="004510B4" w:rsidRDefault="004510B4" w:rsidP="001A317A">
      <w:pPr>
        <w:jc w:val="center"/>
      </w:pPr>
    </w:p>
    <w:p w:rsidR="004510B4" w:rsidRDefault="004510B4" w:rsidP="001A317A">
      <w:pPr>
        <w:jc w:val="center"/>
      </w:pPr>
    </w:p>
    <w:p w:rsidR="004510B4" w:rsidRDefault="004510B4" w:rsidP="001A317A">
      <w:pPr>
        <w:jc w:val="center"/>
      </w:pPr>
    </w:p>
    <w:p w:rsidR="00F650C9" w:rsidRDefault="00F650C9" w:rsidP="00FE1A41">
      <w:pPr>
        <w:spacing w:after="0" w:line="240" w:lineRule="auto"/>
      </w:pPr>
    </w:p>
    <w:sectPr w:rsidR="00F650C9" w:rsidSect="009C4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875"/>
    <w:multiLevelType w:val="multilevel"/>
    <w:tmpl w:val="6DE4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B1F3F"/>
    <w:multiLevelType w:val="multilevel"/>
    <w:tmpl w:val="F270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CD691D"/>
    <w:multiLevelType w:val="multilevel"/>
    <w:tmpl w:val="8990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TrueTypeFonts/>
  <w:saveSubsetFonts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NbI0MjGwNLKwMDUxNzdU0lEKTi0uzszPAykwrgUAv98b1CwAAAA="/>
  </w:docVars>
  <w:rsids>
    <w:rsidRoot w:val="002B464D"/>
    <w:rsid w:val="00007254"/>
    <w:rsid w:val="000F06F4"/>
    <w:rsid w:val="001353D6"/>
    <w:rsid w:val="001819F4"/>
    <w:rsid w:val="001A317A"/>
    <w:rsid w:val="002929B7"/>
    <w:rsid w:val="002B464D"/>
    <w:rsid w:val="0036303E"/>
    <w:rsid w:val="00372E88"/>
    <w:rsid w:val="004510B4"/>
    <w:rsid w:val="00462F3D"/>
    <w:rsid w:val="005A68EB"/>
    <w:rsid w:val="005B2EA5"/>
    <w:rsid w:val="006A152F"/>
    <w:rsid w:val="006E43CE"/>
    <w:rsid w:val="00770CAF"/>
    <w:rsid w:val="0088188E"/>
    <w:rsid w:val="009017BA"/>
    <w:rsid w:val="0091531A"/>
    <w:rsid w:val="009A755C"/>
    <w:rsid w:val="009B188C"/>
    <w:rsid w:val="009C4A03"/>
    <w:rsid w:val="009E77F5"/>
    <w:rsid w:val="00AA6F47"/>
    <w:rsid w:val="00B873B4"/>
    <w:rsid w:val="00BF6DE7"/>
    <w:rsid w:val="00CD18D3"/>
    <w:rsid w:val="00E33DBB"/>
    <w:rsid w:val="00F3770C"/>
    <w:rsid w:val="00F650C9"/>
    <w:rsid w:val="00FE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64D"/>
  </w:style>
  <w:style w:type="paragraph" w:styleId="Heading1">
    <w:name w:val="heading 1"/>
    <w:basedOn w:val="Normal"/>
    <w:link w:val="Heading1Char"/>
    <w:uiPriority w:val="9"/>
    <w:qFormat/>
    <w:rsid w:val="006A152F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51"/>
      <w:szCs w:val="51"/>
    </w:rPr>
  </w:style>
  <w:style w:type="paragraph" w:styleId="Heading2">
    <w:name w:val="heading 2"/>
    <w:basedOn w:val="Normal"/>
    <w:link w:val="Heading2Char"/>
    <w:uiPriority w:val="9"/>
    <w:qFormat/>
    <w:rsid w:val="006A15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A15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52F"/>
    <w:rPr>
      <w:rFonts w:ascii="Times New Roman" w:eastAsia="Times New Roman" w:hAnsi="Times New Roman" w:cs="Times New Roman"/>
      <w:b/>
      <w:bCs/>
      <w:kern w:val="36"/>
      <w:sz w:val="51"/>
      <w:szCs w:val="51"/>
    </w:rPr>
  </w:style>
  <w:style w:type="character" w:customStyle="1" w:styleId="Heading2Char">
    <w:name w:val="Heading 2 Char"/>
    <w:basedOn w:val="DefaultParagraphFont"/>
    <w:link w:val="Heading2"/>
    <w:uiPriority w:val="9"/>
    <w:rsid w:val="006A15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A152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A152F"/>
    <w:rPr>
      <w:strike w:val="0"/>
      <w:dstrike w:val="0"/>
      <w:color w:val="015988"/>
      <w:u w:val="singl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6A152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1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006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9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65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5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6300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36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8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07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6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2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8217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stopedia.com/terms/t/taxes.asp" TargetMode="External"/><Relationship Id="rId13" Type="http://schemas.openxmlformats.org/officeDocument/2006/relationships/hyperlink" Target="http://www.investopedia.com/terms/t/taxrate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vestopedia.com/terms/l/levy.asp" TargetMode="External"/><Relationship Id="rId12" Type="http://schemas.openxmlformats.org/officeDocument/2006/relationships/hyperlink" Target="http://www.investopedia.com/terms/r/revenue.as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nvestopedia.com/terms/c/corporatetax.asp" TargetMode="External"/><Relationship Id="rId11" Type="http://schemas.openxmlformats.org/officeDocument/2006/relationships/hyperlink" Target="http://www.investopedia.com/terms/d/depreciation.asp" TargetMode="External"/><Relationship Id="rId5" Type="http://schemas.openxmlformats.org/officeDocument/2006/relationships/hyperlink" Target="https://www.irs.gov/site-index-search?search=1120&amp;field_pup_historical_1=1&amp;field_pup_historical=1&amp;=Search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://www.investopedia.com/terms/c/cogs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vestopedia.com/terms/o/operatingearnings.asp" TargetMode="External"/><Relationship Id="rId14" Type="http://schemas.openxmlformats.org/officeDocument/2006/relationships/hyperlink" Target="http://www.investopedia.com/terms/t/taxation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SEMACIO</dc:creator>
  <cp:keywords/>
  <dc:description/>
  <cp:lastModifiedBy>LEO SEMACIO</cp:lastModifiedBy>
  <cp:revision>4</cp:revision>
  <dcterms:created xsi:type="dcterms:W3CDTF">2017-10-16T20:54:00Z</dcterms:created>
  <dcterms:modified xsi:type="dcterms:W3CDTF">2017-10-24T19:18:00Z</dcterms:modified>
</cp:coreProperties>
</file>